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广元市零八一中学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sectPr>
          <w:footerReference r:id="rId3" w:type="default"/>
          <w:pgSz w:w="11906" w:h="16838"/>
          <w:pgMar w:top="2098" w:right="1474" w:bottom="1984" w:left="1587" w:header="720" w:footer="1559" w:gutter="0"/>
          <w:pgNumType w:fmt="decimal"/>
          <w:cols w:space="720" w:num="1"/>
          <w:docGrid w:type="lines" w:linePitch="312" w:charSpace="0"/>
        </w:sect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sdt>
      <w:sdtPr>
        <w:rPr>
          <w:rFonts w:ascii="宋体" w:hAnsi="宋体" w:eastAsia="宋体" w:cs="Times New Roman"/>
          <w:color w:val="auto"/>
          <w:kern w:val="2"/>
          <w:sz w:val="21"/>
          <w:szCs w:val="24"/>
          <w:lang w:val="en-US" w:eastAsia="zh-CN" w:bidi="ar-SA"/>
        </w:rPr>
        <w:id w:val="147463311"/>
        <w15:color w:val="DBDBDB"/>
        <w:docPartObj>
          <w:docPartGallery w:val="Table of Contents"/>
          <w:docPartUnique/>
        </w:docPartObj>
      </w:sdtPr>
      <w:sdtEndPr>
        <w:rPr>
          <w:rFonts w:hint="eastAsia" w:ascii="方正小标宋简体" w:hAnsi="方正小标宋简体" w:eastAsia="方正小标宋简体" w:cs="方正小标宋简体"/>
          <w:b/>
          <w:bCs w:val="0"/>
          <w:i w:val="0"/>
          <w:caps w:val="0"/>
          <w:color w:val="000000" w:themeColor="text1"/>
          <w:spacing w:val="0"/>
          <w:kern w:val="0"/>
          <w:sz w:val="21"/>
          <w:szCs w:val="44"/>
          <w:highlight w:val="none"/>
          <w:shd w:val="clear" w:color="auto" w:fill="FFFFFF"/>
          <w:lang w:val="en-US" w:eastAsia="zh-CN" w:bidi="ar"/>
          <w14:textFill>
            <w14:solidFill>
              <w14:schemeClr w14:val="tx1"/>
            </w14:solidFill>
          </w14:textFill>
        </w:rPr>
      </w:sdtEndPr>
      <w:sdtContent>
        <w:p>
          <w:pPr>
            <w:spacing w:before="0" w:beforeLines="0" w:after="0" w:afterLines="0" w:line="360" w:lineRule="auto"/>
            <w:ind w:left="0" w:leftChars="0" w:right="0" w:rightChars="0" w:firstLine="0" w:firstLineChars="0"/>
            <w:jc w:val="center"/>
          </w:pPr>
          <w:r>
            <w:rPr>
              <w:rFonts w:ascii="宋体" w:hAnsi="宋体" w:eastAsia="宋体"/>
              <w:sz w:val="21"/>
            </w:rPr>
            <w:t>目录</w:t>
          </w:r>
        </w:p>
        <w:p>
          <w:pPr>
            <w:pStyle w:val="16"/>
            <w:tabs>
              <w:tab w:val="right" w:leader="dot" w:pos="8845"/>
            </w:tabs>
            <w:spacing w:line="360" w:lineRule="auto"/>
            <w:rPr>
              <w:b/>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instrText xml:space="preserve">TOC \o "1-2" \h \u </w:instrText>
          </w: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fldChar w:fldCharType="separate"/>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_Toc24348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b/>
              <w:lang w:val="en-US" w:eastAsia="zh-CN"/>
            </w:rPr>
            <w:t>一、基本职能及主要工作</w:t>
          </w:r>
          <w:r>
            <w:rPr>
              <w:b/>
            </w:rPr>
            <w:tab/>
          </w:r>
          <w:r>
            <w:rPr>
              <w:b/>
            </w:rPr>
            <w:fldChar w:fldCharType="begin"/>
          </w:r>
          <w:r>
            <w:rPr>
              <w:b/>
            </w:rPr>
            <w:instrText xml:space="preserve"> PAGEREF _Toc24348 \h </w:instrText>
          </w:r>
          <w:r>
            <w:rPr>
              <w:b/>
            </w:rPr>
            <w:fldChar w:fldCharType="separate"/>
          </w:r>
          <w:r>
            <w:rPr>
              <w:b/>
            </w:rPr>
            <w:t>3</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_Toc26696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rPr>
            <w:t>（一）职能简介</w:t>
          </w:r>
          <w:r>
            <w:tab/>
          </w:r>
          <w:r>
            <w:fldChar w:fldCharType="begin"/>
          </w:r>
          <w:r>
            <w:instrText xml:space="preserve"> PAGEREF _Toc26696 \h </w:instrText>
          </w:r>
          <w:r>
            <w:fldChar w:fldCharType="separate"/>
          </w:r>
          <w:r>
            <w:t>3</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_Toc10958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rPr>
            <w:t>（二）</w:t>
          </w:r>
          <w:r>
            <w:rPr>
              <w:rFonts w:hint="eastAsia"/>
              <w:lang w:val="en-US"/>
            </w:rPr>
            <w:t>2024</w:t>
          </w:r>
          <w:r>
            <w:rPr>
              <w:rFonts w:hint="eastAsia"/>
            </w:rPr>
            <w:t>年重点工作</w:t>
          </w:r>
          <w:r>
            <w:tab/>
          </w:r>
          <w:r>
            <w:fldChar w:fldCharType="begin"/>
          </w:r>
          <w:r>
            <w:instrText xml:space="preserve"> PAGEREF _Toc10958 \h </w:instrText>
          </w:r>
          <w:r>
            <w:fldChar w:fldCharType="separate"/>
          </w:r>
          <w:r>
            <w:t>3</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_Toc7563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b/>
              <w:lang w:val="en-US" w:eastAsia="zh-CN"/>
            </w:rPr>
            <w:t>二、部门预算单位构成</w:t>
          </w:r>
          <w:r>
            <w:rPr>
              <w:b/>
            </w:rPr>
            <w:tab/>
          </w:r>
          <w:r>
            <w:rPr>
              <w:b/>
            </w:rPr>
            <w:fldChar w:fldCharType="begin"/>
          </w:r>
          <w:r>
            <w:rPr>
              <w:b/>
            </w:rPr>
            <w:instrText xml:space="preserve"> PAGEREF _Toc7563 \h </w:instrText>
          </w:r>
          <w:r>
            <w:rPr>
              <w:b/>
            </w:rPr>
            <w:fldChar w:fldCharType="separate"/>
          </w:r>
          <w:r>
            <w:rPr>
              <w:b/>
            </w:rPr>
            <w:t>4</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_Toc22802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b/>
              <w:lang w:val="en-US" w:eastAsia="zh-CN"/>
            </w:rPr>
            <w:t>三、收支预算情况说明</w:t>
          </w:r>
          <w:r>
            <w:rPr>
              <w:b/>
            </w:rPr>
            <w:tab/>
          </w:r>
          <w:r>
            <w:rPr>
              <w:b/>
            </w:rPr>
            <w:fldChar w:fldCharType="begin"/>
          </w:r>
          <w:r>
            <w:rPr>
              <w:b/>
            </w:rPr>
            <w:instrText xml:space="preserve"> PAGEREF _Toc22802 \h </w:instrText>
          </w:r>
          <w:r>
            <w:rPr>
              <w:b/>
            </w:rPr>
            <w:fldChar w:fldCharType="separate"/>
          </w:r>
          <w:r>
            <w:rPr>
              <w:b/>
            </w:rPr>
            <w:t>4</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_Toc25399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lang w:val="en-US" w:eastAsia="zh-CN"/>
            </w:rPr>
            <w:t>（一）收入预算情况</w:t>
          </w:r>
          <w:r>
            <w:tab/>
          </w:r>
          <w:r>
            <w:fldChar w:fldCharType="begin"/>
          </w:r>
          <w:r>
            <w:instrText xml:space="preserve"> PAGEREF _Toc25399 \h </w:instrText>
          </w:r>
          <w:r>
            <w:fldChar w:fldCharType="separate"/>
          </w:r>
          <w:r>
            <w:t>5</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_Toc26318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lang w:val="en-US" w:eastAsia="zh-CN"/>
            </w:rPr>
            <w:t>（二）支出预算情况</w:t>
          </w:r>
          <w:r>
            <w:tab/>
          </w:r>
          <w:r>
            <w:fldChar w:fldCharType="begin"/>
          </w:r>
          <w:r>
            <w:instrText xml:space="preserve"> PAGEREF _Toc26318 \h </w:instrText>
          </w:r>
          <w:r>
            <w:fldChar w:fldCharType="separate"/>
          </w:r>
          <w:r>
            <w:t>5</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_Toc11619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b/>
              <w:lang w:val="en-US" w:eastAsia="zh-CN"/>
            </w:rPr>
            <w:t>四、财政拨款收支预算情况说明</w:t>
          </w:r>
          <w:r>
            <w:rPr>
              <w:b/>
            </w:rPr>
            <w:tab/>
          </w:r>
          <w:r>
            <w:rPr>
              <w:b/>
            </w:rPr>
            <w:fldChar w:fldCharType="begin"/>
          </w:r>
          <w:r>
            <w:rPr>
              <w:b/>
            </w:rPr>
            <w:instrText xml:space="preserve"> PAGEREF _Toc11619 \h </w:instrText>
          </w:r>
          <w:r>
            <w:rPr>
              <w:b/>
            </w:rPr>
            <w:fldChar w:fldCharType="separate"/>
          </w:r>
          <w:r>
            <w:rPr>
              <w:b/>
            </w:rPr>
            <w:t>5</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_Toc32581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b/>
              <w:lang w:val="en-US" w:eastAsia="zh-CN"/>
            </w:rPr>
            <w:t>五、一般公共预算当年拨款情况说明</w:t>
          </w:r>
          <w:r>
            <w:rPr>
              <w:b/>
            </w:rPr>
            <w:tab/>
          </w:r>
          <w:r>
            <w:rPr>
              <w:b/>
            </w:rPr>
            <w:fldChar w:fldCharType="begin"/>
          </w:r>
          <w:r>
            <w:rPr>
              <w:b/>
            </w:rPr>
            <w:instrText xml:space="preserve"> PAGEREF _Toc32581 \h </w:instrText>
          </w:r>
          <w:r>
            <w:rPr>
              <w:b/>
            </w:rPr>
            <w:fldChar w:fldCharType="separate"/>
          </w:r>
          <w:r>
            <w:rPr>
              <w:b/>
            </w:rPr>
            <w:t>5</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_Toc2990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lang w:val="en-US" w:eastAsia="zh-CN"/>
            </w:rPr>
            <w:t>（一）一般公共预算当年拨款规模变化情况</w:t>
          </w:r>
          <w:r>
            <w:tab/>
          </w:r>
          <w:r>
            <w:fldChar w:fldCharType="begin"/>
          </w:r>
          <w:r>
            <w:instrText xml:space="preserve"> PAGEREF _Toc2990 \h </w:instrText>
          </w:r>
          <w:r>
            <w:fldChar w:fldCharType="separate"/>
          </w:r>
          <w:r>
            <w:t>5</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_Toc18291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lang w:val="en-US" w:eastAsia="zh-CN"/>
            </w:rPr>
            <w:t>（二）一般公共预算当年拨款结构情况</w:t>
          </w:r>
          <w:r>
            <w:tab/>
          </w:r>
          <w:r>
            <w:fldChar w:fldCharType="begin"/>
          </w:r>
          <w:r>
            <w:instrText xml:space="preserve"> PAGEREF _Toc18291 \h </w:instrText>
          </w:r>
          <w:r>
            <w:fldChar w:fldCharType="separate"/>
          </w:r>
          <w:r>
            <w:t>6</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_Toc31638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lang w:val="en-US" w:eastAsia="zh-CN"/>
            </w:rPr>
            <w:t>（三）一般公共预算当年拨款具体使用情况</w:t>
          </w:r>
          <w:r>
            <w:tab/>
          </w:r>
          <w:r>
            <w:fldChar w:fldCharType="begin"/>
          </w:r>
          <w:r>
            <w:instrText xml:space="preserve"> PAGEREF _Toc31638 \h </w:instrText>
          </w:r>
          <w:r>
            <w:fldChar w:fldCharType="separate"/>
          </w:r>
          <w:r>
            <w:t>6</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_Toc18827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b/>
              <w:lang w:val="en-US" w:eastAsia="zh-CN"/>
            </w:rPr>
            <w:t>六、一般公共预算基本支出情况说明</w:t>
          </w:r>
          <w:r>
            <w:rPr>
              <w:b/>
            </w:rPr>
            <w:tab/>
          </w:r>
          <w:r>
            <w:rPr>
              <w:b/>
            </w:rPr>
            <w:fldChar w:fldCharType="begin"/>
          </w:r>
          <w:r>
            <w:rPr>
              <w:b/>
            </w:rPr>
            <w:instrText xml:space="preserve"> PAGEREF _Toc18827 \h </w:instrText>
          </w:r>
          <w:r>
            <w:rPr>
              <w:b/>
            </w:rPr>
            <w:fldChar w:fldCharType="separate"/>
          </w:r>
          <w:r>
            <w:rPr>
              <w:b/>
            </w:rPr>
            <w:t>7</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_Toc32383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b/>
              <w:lang w:val="en-US" w:eastAsia="zh-CN"/>
            </w:rPr>
            <w:t>七、“三公”经费财政拨款预算安排情况说明</w:t>
          </w:r>
          <w:r>
            <w:rPr>
              <w:b/>
            </w:rPr>
            <w:tab/>
          </w:r>
          <w:r>
            <w:rPr>
              <w:b/>
            </w:rPr>
            <w:fldChar w:fldCharType="begin"/>
          </w:r>
          <w:r>
            <w:rPr>
              <w:b/>
            </w:rPr>
            <w:instrText xml:space="preserve"> PAGEREF _Toc32383 \h </w:instrText>
          </w:r>
          <w:r>
            <w:rPr>
              <w:b/>
            </w:rPr>
            <w:fldChar w:fldCharType="separate"/>
          </w:r>
          <w:r>
            <w:rPr>
              <w:b/>
            </w:rPr>
            <w:t>7</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_Toc10583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lang w:val="en-US" w:eastAsia="zh-CN"/>
            </w:rPr>
            <w:t>（一）公务接待费</w:t>
          </w:r>
          <w:r>
            <w:tab/>
          </w:r>
          <w:r>
            <w:fldChar w:fldCharType="begin"/>
          </w:r>
          <w:r>
            <w:instrText xml:space="preserve"> PAGEREF _Toc10583 \h </w:instrText>
          </w:r>
          <w:r>
            <w:fldChar w:fldCharType="separate"/>
          </w:r>
          <w:r>
            <w:t>7</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_Toc6434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lang w:val="en-US" w:eastAsia="zh-CN"/>
            </w:rPr>
            <w:t>（二） 公务用车购置及运行维护费</w:t>
          </w:r>
          <w:r>
            <w:tab/>
          </w:r>
          <w:r>
            <w:fldChar w:fldCharType="begin"/>
          </w:r>
          <w:r>
            <w:instrText xml:space="preserve"> PAGEREF _Toc6434 \h </w:instrText>
          </w:r>
          <w:r>
            <w:fldChar w:fldCharType="separate"/>
          </w:r>
          <w:r>
            <w:t>7</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_Toc20603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仿宋_GB2312" w:hAnsi="仿宋_GB2312" w:eastAsia="仿宋_GB2312" w:cs="仿宋_GB2312"/>
              <w:szCs w:val="32"/>
              <w:lang w:val="en-US" w:eastAsia="zh-CN"/>
            </w:rPr>
            <w:t>（</w:t>
          </w:r>
          <w:r>
            <w:rPr>
              <w:rFonts w:hint="eastAsia" w:ascii="楷体_GB2312" w:hAnsi="楷体_GB2312" w:eastAsia="楷体_GB2312" w:cs="楷体_GB2312"/>
              <w:szCs w:val="32"/>
              <w:lang w:val="en-US" w:eastAsia="zh-CN"/>
            </w:rPr>
            <w:t>三）因公出国（境）经费</w:t>
          </w:r>
          <w:r>
            <w:tab/>
          </w:r>
          <w:r>
            <w:fldChar w:fldCharType="begin"/>
          </w:r>
          <w:r>
            <w:instrText xml:space="preserve"> PAGEREF _Toc20603 \h </w:instrText>
          </w:r>
          <w:r>
            <w:fldChar w:fldCharType="separate"/>
          </w:r>
          <w:r>
            <w:t>8</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_Toc20277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b/>
              <w:lang w:val="en-US" w:eastAsia="zh-CN"/>
            </w:rPr>
            <w:t>八、政府性基金预算支出情况说明</w:t>
          </w:r>
          <w:r>
            <w:rPr>
              <w:b/>
            </w:rPr>
            <w:tab/>
          </w:r>
          <w:r>
            <w:rPr>
              <w:b/>
            </w:rPr>
            <w:fldChar w:fldCharType="begin"/>
          </w:r>
          <w:r>
            <w:rPr>
              <w:b/>
            </w:rPr>
            <w:instrText xml:space="preserve"> PAGEREF _Toc20277 \h </w:instrText>
          </w:r>
          <w:r>
            <w:rPr>
              <w:b/>
            </w:rPr>
            <w:fldChar w:fldCharType="separate"/>
          </w:r>
          <w:r>
            <w:rPr>
              <w:b/>
            </w:rPr>
            <w:t>8</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_Toc31211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b/>
              <w:lang w:val="en-US" w:eastAsia="zh-CN"/>
            </w:rPr>
            <w:t>九、国有资本经营预算支出情况说明</w:t>
          </w:r>
          <w:r>
            <w:rPr>
              <w:b/>
            </w:rPr>
            <w:tab/>
          </w:r>
          <w:r>
            <w:rPr>
              <w:b/>
            </w:rPr>
            <w:fldChar w:fldCharType="begin"/>
          </w:r>
          <w:r>
            <w:rPr>
              <w:b/>
            </w:rPr>
            <w:instrText xml:space="preserve"> PAGEREF _Toc31211 \h </w:instrText>
          </w:r>
          <w:r>
            <w:rPr>
              <w:b/>
            </w:rPr>
            <w:fldChar w:fldCharType="separate"/>
          </w:r>
          <w:r>
            <w:rPr>
              <w:b/>
            </w:rPr>
            <w:t>8</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_Toc1416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b/>
              <w:lang w:val="en-US" w:eastAsia="zh-CN"/>
            </w:rPr>
            <w:t>十、其他重要事项的情况说明</w:t>
          </w:r>
          <w:r>
            <w:rPr>
              <w:b/>
            </w:rPr>
            <w:tab/>
          </w:r>
          <w:r>
            <w:rPr>
              <w:b/>
            </w:rPr>
            <w:fldChar w:fldCharType="begin"/>
          </w:r>
          <w:r>
            <w:rPr>
              <w:b/>
            </w:rPr>
            <w:instrText xml:space="preserve"> PAGEREF _Toc1416 \h </w:instrText>
          </w:r>
          <w:r>
            <w:rPr>
              <w:b/>
            </w:rPr>
            <w:fldChar w:fldCharType="separate"/>
          </w:r>
          <w:r>
            <w:rPr>
              <w:b/>
            </w:rPr>
            <w:t>8</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_Toc32289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lang w:val="en-US" w:eastAsia="zh-CN"/>
            </w:rPr>
            <w:t>（一）机关运行经费</w:t>
          </w:r>
          <w:r>
            <w:tab/>
          </w:r>
          <w:r>
            <w:fldChar w:fldCharType="begin"/>
          </w:r>
          <w:r>
            <w:instrText xml:space="preserve"> PAGEREF _Toc32289 \h </w:instrText>
          </w:r>
          <w:r>
            <w:fldChar w:fldCharType="separate"/>
          </w:r>
          <w:r>
            <w:t>8</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_Toc17911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lang w:val="en-US" w:eastAsia="zh-CN"/>
            </w:rPr>
            <w:t>（二）政府采购情况</w:t>
          </w:r>
          <w:r>
            <w:tab/>
          </w:r>
          <w:r>
            <w:fldChar w:fldCharType="begin"/>
          </w:r>
          <w:r>
            <w:instrText xml:space="preserve"> PAGEREF _Toc17911 \h </w:instrText>
          </w:r>
          <w:r>
            <w:fldChar w:fldCharType="separate"/>
          </w:r>
          <w:r>
            <w:t>8</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_Toc3527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lang w:val="en-US" w:eastAsia="zh-CN"/>
            </w:rPr>
            <w:t>（三）国有资产占有使用情况</w:t>
          </w:r>
          <w:r>
            <w:tab/>
          </w:r>
          <w:r>
            <w:fldChar w:fldCharType="begin"/>
          </w:r>
          <w:r>
            <w:instrText xml:space="preserve"> PAGEREF _Toc3527 \h </w:instrText>
          </w:r>
          <w:r>
            <w:fldChar w:fldCharType="separate"/>
          </w:r>
          <w:r>
            <w:t>8</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_Toc31697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lang w:val="en-US" w:eastAsia="zh-CN"/>
            </w:rPr>
            <w:t>（四）绩效目标设置情况</w:t>
          </w:r>
          <w:r>
            <w:tab/>
          </w:r>
          <w:r>
            <w:fldChar w:fldCharType="begin"/>
          </w:r>
          <w:r>
            <w:instrText xml:space="preserve"> PAGEREF _Toc31697 \h </w:instrText>
          </w:r>
          <w:r>
            <w:fldChar w:fldCharType="separate"/>
          </w:r>
          <w:r>
            <w:t>8</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_Toc14070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b/>
              <w:lang w:val="en-US" w:eastAsia="zh-CN"/>
            </w:rPr>
            <w:t>十一、名词解释</w:t>
          </w:r>
          <w:r>
            <w:rPr>
              <w:b/>
            </w:rPr>
            <w:tab/>
          </w:r>
          <w:r>
            <w:rPr>
              <w:b/>
            </w:rPr>
            <w:fldChar w:fldCharType="begin"/>
          </w:r>
          <w:r>
            <w:rPr>
              <w:b/>
            </w:rPr>
            <w:instrText xml:space="preserve"> PAGEREF _Toc14070 \h </w:instrText>
          </w:r>
          <w:r>
            <w:rPr>
              <w:b/>
            </w:rPr>
            <w:fldChar w:fldCharType="separate"/>
          </w:r>
          <w:r>
            <w:rPr>
              <w:b/>
            </w:rPr>
            <w:t>9</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360" w:lineRule="auto"/>
            <w:ind w:left="0" w:right="0" w:firstLine="0"/>
            <w:jc w:val="both"/>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sdtContent>
    </w:sdt>
    <w:p>
      <w:pPr>
        <w:pStyle w:val="2"/>
        <w:bidi w:val="0"/>
        <w:rPr>
          <w:rFonts w:hint="eastAsia"/>
        </w:rPr>
      </w:pPr>
      <w:bookmarkStart w:id="0" w:name="_Toc24348"/>
      <w:bookmarkStart w:id="1" w:name="_Toc9155"/>
      <w:bookmarkStart w:id="2" w:name="_Toc22669"/>
      <w:bookmarkStart w:id="3" w:name="_Toc29151"/>
      <w:r>
        <w:rPr>
          <w:rFonts w:hint="eastAsia"/>
          <w:lang w:val="en-US" w:eastAsia="zh-CN"/>
        </w:rPr>
        <w:t>一、基本职能及主要工作</w:t>
      </w:r>
      <w:bookmarkEnd w:id="0"/>
      <w:bookmarkEnd w:id="1"/>
      <w:bookmarkEnd w:id="2"/>
      <w:bookmarkEnd w:id="3"/>
    </w:p>
    <w:p>
      <w:pPr>
        <w:pStyle w:val="3"/>
        <w:bidi w:val="0"/>
        <w:rPr>
          <w:rFonts w:hint="eastAsia"/>
        </w:rPr>
      </w:pPr>
      <w:bookmarkStart w:id="4" w:name="_Toc26696"/>
      <w:r>
        <w:rPr>
          <w:rFonts w:hint="eastAsia"/>
        </w:rPr>
        <w:t>（一）职能简介</w:t>
      </w:r>
      <w:bookmarkEnd w:id="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四川省广元市零八一中学隶属广元市教育局直属义务教育学校，负责实施九年制义务教育，促进基础教育发展。</w:t>
      </w:r>
    </w:p>
    <w:p>
      <w:pPr>
        <w:pStyle w:val="3"/>
        <w:bidi w:val="0"/>
        <w:rPr>
          <w:rFonts w:hint="eastAsia"/>
        </w:rPr>
      </w:pPr>
      <w:bookmarkStart w:id="5" w:name="_Toc10958"/>
      <w:r>
        <w:rPr>
          <w:rFonts w:hint="eastAsia"/>
        </w:rPr>
        <w:t>（二）</w:t>
      </w:r>
      <w:r>
        <w:rPr>
          <w:rFonts w:hint="eastAsia"/>
          <w:lang w:val="en-US"/>
        </w:rPr>
        <w:t>2024</w:t>
      </w:r>
      <w:r>
        <w:rPr>
          <w:rFonts w:hint="eastAsia"/>
        </w:rPr>
        <w:t>年重点工作</w:t>
      </w:r>
      <w:bookmarkEnd w:id="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1.党建引领促发展。以“行有度 乐育人”党建品牌创建为抓手，突出学习、思想引领，统筹安排，落实各项工作。</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2.德育管理重实效。以“三省自育”课题为抓手，大力抓好对学生的行为习惯、卫生习惯、生活习惯的培养；充分挖掘劳动教育功能，规范流程活动，开发1--2门校本课程；打造学校特色学生活动，搭建德、智、体、美、劳全面发展平台，全面提升活动育人功能。组织开展“班主任工作论坛”，实现德育交流经常化；组织开展主题班会竞赛，促进全体班主任管理能力再提升。</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3.队伍建设提能力。以校本培训为抓手，着力提升新进教师、中青年教师、管理干部业务能力。2024年，计划新引进教师10名；强化师德师风，打造风清气正的育人环境。</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4.教学工作保质量。以提升课堂效率，提高教学质量，提升学生成绩为抓手，做好常规检查，反馈跟踪。强化抓中培优，提升毕业班工作的实效性，抓细、抓实、抓深后期管理工作，实现2024年中考成绩新的跨越。</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5.教研工作明方向。以“课题研究”为抓手，着力解决教学过程中存在的问题，实现1—2个课题结题，1—2个课题立项；以课程开发为结果，检验教研成果。</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6.安全工作保稳定。以环境治理、安全隐患排查与治理、心理健康、传染病防控等为切入点，落实目标责任制，签订安全目标责任书，常态化开展好安全风险研判。2024年争创“三星级平安校园”。</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7.宣传工作上台阶。利用好宣传平台，精心组织策划，强化宣传工作培训，使学校宣传再上新台阶。</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8.优化延时服务，规范周末托管。细化人员安排、优化课程设置，努力打造特色鲜明的延时服务活动。</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9.改善办学环境，提升服务质量。在市教育局的指导下，积极推动校本部迁建工作。妥当做好食堂工作人员管理，规范食材渠道和操作流程；落实已完成项目后续工作；规范有序做好校产管理。</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10.强化意识形态，营造良好环境。常态化开展“季度意识形态风险研判”，强化师德师风建设，做好学校网站、公众号、微信群、QQ群管理。</w:t>
      </w:r>
    </w:p>
    <w:p>
      <w:pPr>
        <w:pStyle w:val="2"/>
        <w:bidi w:val="0"/>
        <w:rPr>
          <w:rFonts w:hint="eastAsia"/>
          <w:lang w:val="en-US" w:eastAsia="zh-CN"/>
        </w:rPr>
      </w:pPr>
      <w:bookmarkStart w:id="6" w:name="_Toc18769"/>
      <w:bookmarkStart w:id="7" w:name="_Toc7563"/>
      <w:bookmarkStart w:id="8" w:name="_Toc21806"/>
      <w:bookmarkStart w:id="9" w:name="_Toc4389"/>
      <w:r>
        <w:rPr>
          <w:rFonts w:hint="eastAsia"/>
          <w:lang w:val="en-US" w:eastAsia="zh-CN"/>
        </w:rPr>
        <w:t>二、部门预算单位构成</w:t>
      </w:r>
      <w:bookmarkEnd w:id="6"/>
      <w:bookmarkEnd w:id="7"/>
      <w:bookmarkEnd w:id="8"/>
      <w:bookmarkEnd w:id="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我单位为市教育局的下属二级预算单位，本单位无下属机构，设有内设机构6个。</w:t>
      </w:r>
    </w:p>
    <w:p>
      <w:pPr>
        <w:pStyle w:val="2"/>
        <w:bidi w:val="0"/>
        <w:rPr>
          <w:rFonts w:hint="eastAsia"/>
        </w:rPr>
      </w:pPr>
      <w:bookmarkStart w:id="10" w:name="_Toc22802"/>
      <w:bookmarkStart w:id="11" w:name="_Toc27063"/>
      <w:bookmarkStart w:id="12" w:name="_Toc7099"/>
      <w:bookmarkStart w:id="13" w:name="_Toc5118"/>
      <w:r>
        <w:rPr>
          <w:rFonts w:hint="eastAsia"/>
          <w:lang w:val="en-US" w:eastAsia="zh-CN"/>
        </w:rPr>
        <w:t>三、收支预算情况说明</w:t>
      </w:r>
      <w:bookmarkEnd w:id="10"/>
      <w:bookmarkEnd w:id="11"/>
      <w:bookmarkEnd w:id="12"/>
      <w:bookmarkEnd w:id="1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按照综合预算的原则，市零八一中学所有收入和支出均纳入部门预算管理。收入包括：一般公共预算拨款收入、事业收入、其他收入；支出包括：教育支出、社会保障和就业支出、卫生健康支出、住房保障支出。市零八一中学2024年收支预算总数3163.1万元，比2023年收支预算总数增加806.12万元，主要原因是2024年人员经费增加和课后延时服务费纳入预算其他收入。</w:t>
      </w:r>
    </w:p>
    <w:p>
      <w:pPr>
        <w:pStyle w:val="3"/>
        <w:bidi w:val="0"/>
        <w:rPr>
          <w:rFonts w:hint="eastAsia"/>
          <w:lang w:val="en-US" w:eastAsia="zh-CN"/>
        </w:rPr>
      </w:pPr>
      <w:bookmarkStart w:id="14" w:name="_Toc25399"/>
      <w:r>
        <w:rPr>
          <w:rFonts w:hint="eastAsia"/>
          <w:lang w:val="en-US" w:eastAsia="zh-CN"/>
        </w:rPr>
        <w:t>（一）收入预算情况</w:t>
      </w:r>
      <w:bookmarkEnd w:id="1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市零八一中学2024年收入预算3163.1万元，其中：一般公共预算拨款收入2611.1万元，占82.55%；事业收入90万元，占2.85%；其他收入462万元，占14.6%。</w:t>
      </w:r>
    </w:p>
    <w:p>
      <w:pPr>
        <w:pStyle w:val="3"/>
        <w:bidi w:val="0"/>
        <w:rPr>
          <w:rFonts w:hint="eastAsia"/>
          <w:lang w:val="en-US" w:eastAsia="zh-CN"/>
        </w:rPr>
      </w:pPr>
      <w:bookmarkStart w:id="15" w:name="_Toc26318"/>
      <w:r>
        <w:rPr>
          <w:rFonts w:hint="eastAsia"/>
          <w:lang w:val="en-US" w:eastAsia="zh-CN"/>
        </w:rPr>
        <w:t>（二）支出预算情况</w:t>
      </w:r>
      <w:bookmarkEnd w:id="1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市零八一中学2024年支出预算3163.1万元，其中：基本支出2699.28万元，占85.34%；项目支出463.82万元，占14.66%</w:t>
      </w:r>
      <w:r>
        <w:rPr>
          <w:rFonts w:hint="eastAsia" w:ascii="仿宋_GB2312" w:hAnsi="仿宋_GB2312" w:eastAsia="仿宋_GB2312" w:cs="仿宋_GB2312"/>
          <w:b w:val="0"/>
          <w:bCs w:val="0"/>
          <w:sz w:val="32"/>
          <w:szCs w:val="32"/>
          <w:lang w:val="en-US" w:eastAsia="zh-CN"/>
        </w:rPr>
        <w:t>。</w:t>
      </w:r>
    </w:p>
    <w:p>
      <w:pPr>
        <w:pStyle w:val="2"/>
        <w:bidi w:val="0"/>
        <w:rPr>
          <w:rFonts w:hint="eastAsia"/>
        </w:rPr>
      </w:pPr>
      <w:bookmarkStart w:id="16" w:name="_Toc11619"/>
      <w:bookmarkStart w:id="17" w:name="_Toc6201"/>
      <w:bookmarkStart w:id="18" w:name="_Toc24482"/>
      <w:bookmarkStart w:id="19" w:name="_Toc12482"/>
      <w:r>
        <w:rPr>
          <w:rFonts w:hint="eastAsia"/>
          <w:lang w:val="en-US" w:eastAsia="zh-CN"/>
        </w:rPr>
        <w:t>四、财政拨款收支预算情况说明</w:t>
      </w:r>
      <w:bookmarkEnd w:id="16"/>
      <w:bookmarkEnd w:id="17"/>
      <w:bookmarkEnd w:id="18"/>
      <w:bookmarkEnd w:id="1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市零八一中学2024年财政拨款收支预算总数2611.1万元，比2023年财政拨款收支预算总数增加254.12万元，主要原因是2024年人员经费增加。</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收入包括：本年一般公共预算拨款收入2611.1万元；支出包括：教育支出2012.38万元、社会保障和就业支出293.08万元、卫生健康支出92.64万元、住房保障支出212.99万元。</w:t>
      </w:r>
    </w:p>
    <w:p>
      <w:pPr>
        <w:pStyle w:val="2"/>
        <w:bidi w:val="0"/>
        <w:rPr>
          <w:rFonts w:hint="eastAsia"/>
          <w:lang w:val="en-US" w:eastAsia="zh-CN"/>
        </w:rPr>
      </w:pPr>
      <w:bookmarkStart w:id="20" w:name="_Toc32581"/>
      <w:bookmarkStart w:id="21" w:name="_Toc19871"/>
      <w:bookmarkStart w:id="22" w:name="_Toc12778"/>
      <w:bookmarkStart w:id="23" w:name="_Toc20653"/>
      <w:r>
        <w:rPr>
          <w:rFonts w:hint="eastAsia"/>
          <w:lang w:val="en-US" w:eastAsia="zh-CN"/>
        </w:rPr>
        <w:t>五、一般公共预算当年拨款情况说明</w:t>
      </w:r>
      <w:bookmarkEnd w:id="20"/>
      <w:bookmarkEnd w:id="21"/>
      <w:bookmarkEnd w:id="22"/>
      <w:bookmarkEnd w:id="23"/>
    </w:p>
    <w:p>
      <w:pPr>
        <w:pStyle w:val="3"/>
        <w:bidi w:val="0"/>
        <w:rPr>
          <w:rFonts w:hint="eastAsia"/>
          <w:lang w:val="en-US" w:eastAsia="zh-CN"/>
        </w:rPr>
      </w:pPr>
      <w:bookmarkStart w:id="24" w:name="_Toc2990"/>
      <w:r>
        <w:rPr>
          <w:rFonts w:hint="eastAsia"/>
          <w:lang w:val="en-US" w:eastAsia="zh-CN"/>
        </w:rPr>
        <w:t>（一）一般公共预算当年拨款规模变化情况</w:t>
      </w:r>
      <w:bookmarkEnd w:id="2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市零八一中学2024年一般公共预算当年拨款2611.1万元，比2023年预算数增加254.12万元，主要原因是2024年人员经费增加。</w:t>
      </w:r>
    </w:p>
    <w:p>
      <w:pPr>
        <w:pStyle w:val="3"/>
        <w:bidi w:val="0"/>
        <w:rPr>
          <w:rFonts w:hint="eastAsia"/>
          <w:lang w:val="en-US" w:eastAsia="zh-CN"/>
        </w:rPr>
      </w:pPr>
      <w:bookmarkStart w:id="25" w:name="_Toc18291"/>
      <w:r>
        <w:rPr>
          <w:rFonts w:hint="eastAsia"/>
          <w:lang w:val="en-US" w:eastAsia="zh-CN"/>
        </w:rPr>
        <w:t>（二）一般公共预算当年拨款结构情况</w:t>
      </w:r>
      <w:bookmarkEnd w:id="2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教育支出2012.38万元，占77.07%；社会保障和就业支出293.08万元，占11.22%；卫生健康支出92.64万元，占3.55%；住房保障支出212.99万元，占8.16X%。</w:t>
      </w:r>
    </w:p>
    <w:p>
      <w:pPr>
        <w:pStyle w:val="3"/>
        <w:bidi w:val="0"/>
        <w:rPr>
          <w:rFonts w:hint="eastAsia"/>
          <w:lang w:val="en-US" w:eastAsia="zh-CN"/>
        </w:rPr>
      </w:pPr>
      <w:bookmarkStart w:id="26" w:name="_Toc31638"/>
      <w:r>
        <w:rPr>
          <w:rFonts w:hint="eastAsia"/>
          <w:lang w:val="en-US" w:eastAsia="zh-CN"/>
        </w:rPr>
        <w:t>（三）一般公共预算当年拨款具体使用情况</w:t>
      </w:r>
      <w:bookmarkEnd w:id="2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1.教育支出（类）普通教育（款）初中教育（项）2024年预算数为2012.38万元，主要用于：2024年人员工资支出。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2.社会保障和就业（类）行政事业单位养老支出（款）机关事业单位基本养老保险缴费支出（项）2024年预算数为283.69万元，主要用于：实施养老保险制度由单位缴纳的基本养老保险支出。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3.社会保障和就业（类）其他社会保障和就业支出（款）其他社会保障和就业支出（项）2024年预算数为9.39万元，主要用于：实施社会保险制度由单位缴纳的社会保险支出。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4.卫生健康（类）行政事业单位医疗（款）事业单位医疗（项）2024年预算数为92.64万元，主要用于：事业单位按规定由单位缴纳的基本医疗保险支出。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5.住房保障（类）住房改革支出（款）住房公积金（项）2024年预算数为212.99万元，主要用于：部门按规定为职工缴纳的住房公积金支出。</w:t>
      </w:r>
    </w:p>
    <w:p>
      <w:pPr>
        <w:pStyle w:val="2"/>
        <w:bidi w:val="0"/>
        <w:rPr>
          <w:rFonts w:hint="eastAsia"/>
        </w:rPr>
      </w:pPr>
      <w:bookmarkStart w:id="27" w:name="_Toc8444"/>
      <w:bookmarkStart w:id="28" w:name="_Toc21881"/>
      <w:bookmarkStart w:id="29" w:name="_Toc29484"/>
      <w:bookmarkStart w:id="30" w:name="_Toc18827"/>
      <w:r>
        <w:rPr>
          <w:rFonts w:hint="eastAsia"/>
          <w:lang w:val="en-US" w:eastAsia="zh-CN"/>
        </w:rPr>
        <w:t>六、一般公共预算基本支出情况说明</w:t>
      </w:r>
      <w:bookmarkEnd w:id="27"/>
      <w:bookmarkEnd w:id="28"/>
      <w:bookmarkEnd w:id="29"/>
      <w:bookmarkEnd w:id="3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市零八一中学2024年一般公共预算基本支出2609.28万元，其中：</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人员经费2538.86万元，主要包括：基本工资、津贴补贴、奖金、绩效工资、机关事业单位基本养老保险缴费、职工基本医疗保险缴费、其他社会保障缴费、住房公积金、生活补助等支出。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公用经费70.42万元，主要包括：工会经费、福利费、其他商品和服务支出等支出。</w:t>
      </w:r>
    </w:p>
    <w:p>
      <w:pPr>
        <w:pStyle w:val="2"/>
        <w:bidi w:val="0"/>
        <w:rPr>
          <w:rFonts w:hint="eastAsia"/>
        </w:rPr>
      </w:pPr>
      <w:bookmarkStart w:id="31" w:name="_Toc16394"/>
      <w:bookmarkStart w:id="32" w:name="_Toc26941"/>
      <w:bookmarkStart w:id="33" w:name="_Toc32383"/>
      <w:bookmarkStart w:id="34" w:name="_Toc21707"/>
      <w:r>
        <w:rPr>
          <w:rFonts w:hint="eastAsia"/>
          <w:lang w:val="en-US" w:eastAsia="zh-CN"/>
        </w:rPr>
        <w:t>七、“三公”经费财政拨款预算安排情况说明</w:t>
      </w:r>
      <w:bookmarkEnd w:id="31"/>
      <w:bookmarkEnd w:id="32"/>
      <w:bookmarkEnd w:id="33"/>
      <w:bookmarkEnd w:id="3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市零八一中学2024年“三公”经费财政拨款预算数0万元，其中：公务接待费0万元，公务用车购置及运行维护费0万元，因公出国（境）经费0万元。</w:t>
      </w:r>
    </w:p>
    <w:p>
      <w:pPr>
        <w:pStyle w:val="3"/>
        <w:bidi w:val="0"/>
        <w:rPr>
          <w:rFonts w:hint="eastAsia"/>
          <w:lang w:val="en-US" w:eastAsia="zh-CN"/>
        </w:rPr>
      </w:pPr>
      <w:bookmarkStart w:id="35" w:name="_Toc10583"/>
      <w:r>
        <w:rPr>
          <w:rFonts w:hint="eastAsia"/>
          <w:lang w:val="en-US" w:eastAsia="zh-CN"/>
        </w:rPr>
        <w:t>（一）公务接待费</w:t>
      </w:r>
      <w:bookmarkEnd w:id="3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公务接待费与2023年预算相比持平。2024年无预算安排。</w:t>
      </w:r>
    </w:p>
    <w:p>
      <w:pPr>
        <w:pStyle w:val="3"/>
        <w:numPr>
          <w:ilvl w:val="0"/>
          <w:numId w:val="1"/>
        </w:numPr>
        <w:bidi w:val="0"/>
        <w:rPr>
          <w:rFonts w:hint="eastAsia"/>
          <w:lang w:val="en-US" w:eastAsia="zh-CN"/>
        </w:rPr>
      </w:pPr>
      <w:bookmarkStart w:id="36" w:name="_Toc6434"/>
      <w:r>
        <w:rPr>
          <w:rFonts w:hint="eastAsia"/>
          <w:lang w:val="en-US" w:eastAsia="zh-CN"/>
        </w:rPr>
        <w:t>公务用车购置及运行维护费</w:t>
      </w:r>
      <w:bookmarkEnd w:id="3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公务用车购置及运行维护费与2023年预算相比持平。</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2024年安排公务用车运行维护费0万元。</w:t>
      </w:r>
    </w:p>
    <w:p>
      <w:pPr>
        <w:pStyle w:val="3"/>
        <w:bidi w:val="0"/>
        <w:rPr>
          <w:rFonts w:hint="default" w:ascii="仿宋_GB2312" w:hAnsi="仿宋_GB2312" w:eastAsia="仿宋_GB2312" w:cs="仿宋_GB2312"/>
          <w:sz w:val="32"/>
          <w:szCs w:val="32"/>
          <w:lang w:val="en-US" w:eastAsia="zh-CN"/>
        </w:rPr>
      </w:pPr>
      <w:bookmarkStart w:id="37" w:name="_Toc20603"/>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3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因公出国（境）经费与2023年预算相比持平。2024年无因公出国（境）计划。</w:t>
      </w:r>
    </w:p>
    <w:p>
      <w:pPr>
        <w:pStyle w:val="2"/>
        <w:bidi w:val="0"/>
        <w:rPr>
          <w:rFonts w:hint="eastAsia"/>
          <w:lang w:val="en-US" w:eastAsia="zh-CN"/>
        </w:rPr>
      </w:pPr>
      <w:bookmarkStart w:id="38" w:name="_Toc9504"/>
      <w:bookmarkStart w:id="39" w:name="_Toc18653"/>
      <w:bookmarkStart w:id="40" w:name="_Toc15541"/>
      <w:bookmarkStart w:id="41" w:name="_Toc20277"/>
      <w:r>
        <w:rPr>
          <w:rFonts w:hint="eastAsia"/>
          <w:lang w:val="en-US" w:eastAsia="zh-CN"/>
        </w:rPr>
        <w:t>八、政府性基金预算支出情况说明</w:t>
      </w:r>
      <w:bookmarkEnd w:id="38"/>
      <w:bookmarkEnd w:id="39"/>
      <w:bookmarkEnd w:id="40"/>
      <w:bookmarkEnd w:id="4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市零八一中学2024年无政府性基金预算拨款安排的支出。</w:t>
      </w:r>
    </w:p>
    <w:p>
      <w:pPr>
        <w:pStyle w:val="2"/>
        <w:bidi w:val="0"/>
        <w:rPr>
          <w:rFonts w:hint="eastAsia"/>
          <w:lang w:val="en-US" w:eastAsia="zh-CN"/>
        </w:rPr>
      </w:pPr>
      <w:bookmarkStart w:id="42" w:name="_Toc17024"/>
      <w:bookmarkStart w:id="43" w:name="_Toc7507"/>
      <w:bookmarkStart w:id="44" w:name="_Toc31211"/>
      <w:bookmarkStart w:id="45" w:name="_Toc8945"/>
      <w:r>
        <w:rPr>
          <w:rFonts w:hint="eastAsia"/>
          <w:lang w:val="en-US" w:eastAsia="zh-CN"/>
        </w:rPr>
        <w:t>九、国有资本经营预算支出情况说明</w:t>
      </w:r>
      <w:bookmarkEnd w:id="42"/>
      <w:bookmarkEnd w:id="43"/>
      <w:bookmarkEnd w:id="44"/>
      <w:bookmarkEnd w:id="4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市零八一中学2024年无国有资本经营预算拨款安排的支出。</w:t>
      </w:r>
    </w:p>
    <w:p>
      <w:pPr>
        <w:pStyle w:val="2"/>
        <w:bidi w:val="0"/>
        <w:rPr>
          <w:rFonts w:hint="eastAsia"/>
        </w:rPr>
      </w:pPr>
      <w:bookmarkStart w:id="46" w:name="_Toc1795"/>
      <w:bookmarkStart w:id="47" w:name="_Toc1416"/>
      <w:bookmarkStart w:id="48" w:name="_Toc13898"/>
      <w:bookmarkStart w:id="49" w:name="_Toc4095"/>
      <w:r>
        <w:rPr>
          <w:rFonts w:hint="eastAsia"/>
          <w:lang w:val="en-US" w:eastAsia="zh-CN"/>
        </w:rPr>
        <w:t>十、其他重要事项的情况说明</w:t>
      </w:r>
      <w:bookmarkEnd w:id="46"/>
      <w:bookmarkEnd w:id="47"/>
      <w:bookmarkEnd w:id="48"/>
      <w:bookmarkEnd w:id="49"/>
    </w:p>
    <w:p>
      <w:pPr>
        <w:pStyle w:val="3"/>
        <w:bidi w:val="0"/>
        <w:rPr>
          <w:rFonts w:hint="eastAsia"/>
          <w:lang w:val="en-US" w:eastAsia="zh-CN"/>
        </w:rPr>
      </w:pPr>
      <w:bookmarkStart w:id="50" w:name="_Toc32289"/>
      <w:r>
        <w:rPr>
          <w:rFonts w:hint="eastAsia"/>
          <w:lang w:val="en-US" w:eastAsia="zh-CN"/>
        </w:rPr>
        <w:t>（一）机关运行经费</w:t>
      </w:r>
      <w:bookmarkEnd w:id="5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bookmarkStart w:id="58" w:name="_GoBack"/>
      <w:bookmarkEnd w:id="58"/>
      <w:r>
        <w:rPr>
          <w:rFonts w:hint="eastAsia" w:ascii="仿宋_GB2312" w:hAnsi="仿宋_GB2312" w:eastAsia="仿宋_GB2312" w:cs="仿宋_GB2312"/>
          <w:sz w:val="32"/>
          <w:szCs w:val="32"/>
          <w:lang w:val="en-US" w:eastAsia="zh-CN"/>
        </w:rPr>
        <w:t>市零八一中学为事业单位，按规定未使用机关运行的相关科目。</w:t>
      </w:r>
    </w:p>
    <w:p>
      <w:pPr>
        <w:pStyle w:val="3"/>
        <w:bidi w:val="0"/>
        <w:rPr>
          <w:rFonts w:hint="eastAsia"/>
          <w:lang w:val="en-US" w:eastAsia="zh-CN"/>
        </w:rPr>
      </w:pPr>
      <w:bookmarkStart w:id="51" w:name="_Toc17911"/>
      <w:r>
        <w:rPr>
          <w:rFonts w:hint="eastAsia"/>
          <w:lang w:val="en-US" w:eastAsia="zh-CN"/>
        </w:rPr>
        <w:t>（二）政府采购情况</w:t>
      </w:r>
      <w:bookmarkEnd w:id="5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2024年，市零八一中学安排政府采购预算45万元，其中：政府采购货物预算45万元。</w:t>
      </w:r>
    </w:p>
    <w:p>
      <w:pPr>
        <w:pStyle w:val="3"/>
        <w:bidi w:val="0"/>
        <w:rPr>
          <w:rFonts w:hint="eastAsia"/>
          <w:lang w:val="en-US" w:eastAsia="zh-CN"/>
        </w:rPr>
      </w:pPr>
      <w:bookmarkStart w:id="52" w:name="_Toc3527"/>
      <w:r>
        <w:rPr>
          <w:rFonts w:hint="eastAsia"/>
          <w:lang w:val="en-US" w:eastAsia="zh-CN"/>
        </w:rPr>
        <w:t>（三）国有资产占有使用情况</w:t>
      </w:r>
      <w:bookmarkEnd w:id="5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截至2023年底，市零八一中学共有车辆0辆。单位无价值200万元以上的大型设备。</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2024年部门预算未安排购置车辆及单位价值200万元以上大型设备。</w:t>
      </w:r>
    </w:p>
    <w:p>
      <w:pPr>
        <w:pStyle w:val="3"/>
        <w:bidi w:val="0"/>
        <w:rPr>
          <w:rFonts w:hint="eastAsia"/>
        </w:rPr>
      </w:pPr>
      <w:bookmarkStart w:id="53" w:name="_Toc31697"/>
      <w:r>
        <w:rPr>
          <w:rFonts w:hint="eastAsia"/>
          <w:lang w:val="en-US" w:eastAsia="zh-CN"/>
        </w:rPr>
        <w:t>（四）绩效目标设置情况</w:t>
      </w:r>
      <w:bookmarkEnd w:id="53"/>
    </w:p>
    <w:p>
      <w:pPr>
        <w:pStyle w:val="2"/>
        <w:bidi w:val="0"/>
        <w:rPr>
          <w:rFonts w:hint="eastAsia" w:ascii="仿宋_GB2312" w:hAnsi="仿宋_GB2312" w:eastAsia="仿宋_GB2312" w:cs="仿宋_GB2312"/>
          <w:sz w:val="32"/>
          <w:szCs w:val="32"/>
          <w:highlight w:val="none"/>
          <w:lang w:val="en-US" w:eastAsia="zh-CN"/>
        </w:rPr>
      </w:pPr>
      <w:bookmarkStart w:id="54" w:name="_Toc16099"/>
      <w:bookmarkStart w:id="55" w:name="_Toc29803"/>
      <w:bookmarkStart w:id="56" w:name="_Toc14070"/>
      <w:bookmarkStart w:id="57" w:name="_Toc15493"/>
      <w:r>
        <w:rPr>
          <w:rFonts w:hint="eastAsia" w:ascii="仿宋_GB2312" w:hAnsi="仿宋_GB2312" w:eastAsia="仿宋_GB2312" w:cs="仿宋_GB2312"/>
          <w:sz w:val="32"/>
          <w:szCs w:val="32"/>
          <w:highlight w:val="none"/>
          <w:lang w:val="en-US" w:eastAsia="zh-CN"/>
        </w:rPr>
        <w:t>2024年市零八一中学开展绩效目标管理的项目9个，涉及预算3163.1万元。其中：人员类项目4个，涉及预算2538.86万元；运转类项目3个，涉及预算160.42万元；特定目标类项目2个，涉及预算463.82万元。</w:t>
      </w:r>
    </w:p>
    <w:p>
      <w:pPr>
        <w:pStyle w:val="2"/>
        <w:bidi w:val="0"/>
        <w:rPr>
          <w:rFonts w:hint="eastAsia"/>
          <w:highlight w:val="none"/>
        </w:rPr>
      </w:pPr>
      <w:r>
        <w:rPr>
          <w:rFonts w:hint="eastAsia"/>
          <w:highlight w:val="none"/>
          <w:lang w:val="en-US" w:eastAsia="zh-CN"/>
        </w:rPr>
        <w:t>十一、名词解释</w:t>
      </w:r>
      <w:bookmarkEnd w:id="54"/>
      <w:bookmarkEnd w:id="55"/>
      <w:bookmarkEnd w:id="56"/>
      <w:bookmarkEnd w:id="5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sz w:val="32"/>
          <w:szCs w:val="32"/>
          <w:lang w:val="en-US" w:eastAsia="zh-CN"/>
        </w:rPr>
        <w:t>指市财政当年安排的财政预算收入。按现行管理制度，部门预算中反映的财政拨款包括一般公共预算拨款和政府性基金预算拨款。</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楷体_GB2312" w:hAnsi="楷体_GB2312" w:eastAsia="楷体_GB2312" w:cs="楷体_GB2312"/>
          <w:sz w:val="32"/>
          <w:szCs w:val="32"/>
          <w:lang w:val="en-US" w:eastAsia="zh-CN"/>
        </w:rPr>
        <w:t>（二）事业收入：</w:t>
      </w:r>
      <w:r>
        <w:rPr>
          <w:rFonts w:hint="eastAsia" w:ascii="仿宋_GB2312" w:hAnsi="仿宋_GB2312" w:eastAsia="仿宋_GB2312" w:cs="仿宋_GB2312"/>
          <w:sz w:val="32"/>
          <w:szCs w:val="32"/>
          <w:lang w:val="en-US" w:eastAsia="zh-CN"/>
        </w:rPr>
        <w:t>指事业单位开展专业业务活动及辅助活动所取得的收入。主要为学校根据国家有关部门批准的项目和标准收取的住宿费等。</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（三）其他收入：</w:t>
      </w:r>
      <w:r>
        <w:rPr>
          <w:rFonts w:hint="eastAsia" w:ascii="仿宋_GB2312" w:hAnsi="仿宋_GB2312" w:eastAsia="仿宋_GB2312" w:cs="仿宋_GB2312"/>
          <w:sz w:val="32"/>
          <w:szCs w:val="32"/>
          <w:lang w:val="en-US" w:eastAsia="zh-CN"/>
        </w:rPr>
        <w:t>指除上述“一般公共预算拨款收入” “事业收入”等以外的收入。主要为学校根据国家有关部门批准的项目和标准收取的课后延时服务费收入等。　　</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（四）教育支出（类）普通教育（款）初中教育（项）：</w:t>
      </w:r>
      <w:r>
        <w:rPr>
          <w:rFonts w:hint="eastAsia" w:ascii="仿宋_GB2312" w:hAnsi="仿宋_GB2312" w:eastAsia="仿宋_GB2312" w:cs="仿宋_GB2312"/>
          <w:sz w:val="32"/>
          <w:szCs w:val="32"/>
          <w:lang w:val="en-US" w:eastAsia="zh-CN"/>
        </w:rPr>
        <w:t>指为配合教育教学业务开展，用于在职人员的工资支出、办公费支出和退休人员生活补助支出。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宋体" w:hAnsi="宋体" w:eastAsia="宋体" w:cs="宋体"/>
          <w:i w:val="0"/>
          <w:iCs w:val="0"/>
          <w:caps w:val="0"/>
          <w:color w:val="000000"/>
          <w:spacing w:val="0"/>
          <w:sz w:val="19"/>
          <w:szCs w:val="19"/>
          <w:shd w:val="clear" w:fill="FFFFFF"/>
        </w:rPr>
      </w:pPr>
      <w:r>
        <w:rPr>
          <w:rFonts w:hint="eastAsia" w:ascii="楷体_GB2312" w:hAnsi="楷体_GB2312" w:eastAsia="楷体_GB2312" w:cs="楷体_GB2312"/>
          <w:sz w:val="32"/>
          <w:szCs w:val="32"/>
          <w:lang w:val="en-US" w:eastAsia="zh-CN"/>
        </w:rPr>
        <w:t>（五）社会保障和就业（类）行政事业单位养老支出（款）机关事业单位基本养老保险缴费支出（项）：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指部门实施养老保险制度由单位缴纳的养老保险的支出。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（六）社会保障和就业（类）其他社会保障和就业支出（款）其他社会保障和就业支出（项）：</w:t>
      </w:r>
      <w:r>
        <w:rPr>
          <w:rFonts w:hint="eastAsia" w:ascii="仿宋_GB2312" w:hAnsi="仿宋_GB2312" w:eastAsia="仿宋_GB2312" w:cs="仿宋_GB2312"/>
          <w:sz w:val="32"/>
          <w:szCs w:val="32"/>
          <w:lang w:val="en-US" w:eastAsia="zh-CN"/>
        </w:rPr>
        <w:t>指部门实施社会保险制度由单位缴纳的社会保险的支出</w:t>
      </w:r>
      <w:r>
        <w:rPr>
          <w:rFonts w:hint="eastAsia" w:ascii="宋体" w:hAnsi="宋体" w:eastAsia="宋体" w:cs="宋体"/>
          <w:i w:val="0"/>
          <w:iCs w:val="0"/>
          <w:caps w:val="0"/>
          <w:color w:val="000000"/>
          <w:spacing w:val="0"/>
          <w:sz w:val="19"/>
          <w:szCs w:val="19"/>
          <w:shd w:val="clear" w:fill="FFFFFF"/>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（七）卫生健康（类）行政事业单位医疗（款）事业单位医疗（项）：</w:t>
      </w:r>
      <w:r>
        <w:rPr>
          <w:rFonts w:hint="eastAsia" w:ascii="仿宋_GB2312" w:hAnsi="仿宋_GB2312" w:eastAsia="仿宋_GB2312" w:cs="仿宋_GB2312"/>
          <w:sz w:val="32"/>
          <w:szCs w:val="32"/>
          <w:lang w:val="en-US" w:eastAsia="zh-CN"/>
        </w:rPr>
        <w:t>指事业单位用于单位应缴纳基本医疗保险支出。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（八）住房保障（类）住房改革支出（款）住房公积金（项）：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（九）基本支出：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（十）项目支出：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（十一）“三公”经费：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（二十一）机关运行经费：</w:t>
      </w:r>
      <w:r>
        <w:rPr>
          <w:rFonts w:hint="eastAsia" w:ascii="仿宋_GB2312" w:hAnsi="仿宋_GB2312" w:eastAsia="仿宋_GB2312" w:cs="仿宋_GB2312"/>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附件：单位预算公开表</w:t>
      </w: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eastAsia="zh-CN"/>
        </w:rPr>
      </w:pPr>
    </w:p>
    <w:sectPr>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Liberation Sans">
    <w:altName w:val="Segoe Print"/>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3000509000000000000"/>
    <w:charset w:val="86"/>
    <w:family w:val="auto"/>
    <w:pitch w:val="default"/>
    <w:sig w:usb0="00000001" w:usb1="080E0000" w:usb2="00000000" w:usb3="00000000" w:csb0="00040000" w:csb1="00000000"/>
    <w:embedRegular r:id="rId1" w:fontKey="{FB2767D0-E4C8-4BD1-A64B-F66BFF6540CF}"/>
  </w:font>
  <w:font w:name="仿宋_GB2312">
    <w:panose1 w:val="02010609030101010101"/>
    <w:charset w:val="86"/>
    <w:family w:val="modern"/>
    <w:pitch w:val="default"/>
    <w:sig w:usb0="00000001" w:usb1="080E0000" w:usb2="00000000" w:usb3="00000000" w:csb0="00040000" w:csb1="00000000"/>
    <w:embedRegular r:id="rId2" w:fontKey="{48D09F78-5375-4DC6-8F7A-F1BB740D1B98}"/>
  </w:font>
  <w:font w:name="楷体_GB2312">
    <w:panose1 w:val="02010609030101010101"/>
    <w:charset w:val="86"/>
    <w:family w:val="auto"/>
    <w:pitch w:val="default"/>
    <w:sig w:usb0="00000001" w:usb1="080E0000" w:usb2="00000000" w:usb3="00000000" w:csb0="00040000" w:csb1="00000000"/>
    <w:embedRegular r:id="rId3" w:fontKey="{28BEB0AA-3A79-4238-A003-3A20C1BFE1E1}"/>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JmNTAxYTA0NTllZTU0OWY5NWY0MWNlMzBjNGU2OTYifQ=="/>
    <w:docVar w:name="KSO_WPS_MARK_KEY" w:val="53315d5d-773b-4ee6-9189-fbfc18e52b53"/>
  </w:docVars>
  <w:rsids>
    <w:rsidRoot w:val="00000000"/>
    <w:rsid w:val="012352D1"/>
    <w:rsid w:val="15540A28"/>
    <w:rsid w:val="166F2222"/>
    <w:rsid w:val="1A8011C2"/>
    <w:rsid w:val="1F7BF06F"/>
    <w:rsid w:val="1FEE4B73"/>
    <w:rsid w:val="23CE9849"/>
    <w:rsid w:val="2C135826"/>
    <w:rsid w:val="3186285C"/>
    <w:rsid w:val="39F304DD"/>
    <w:rsid w:val="3B8B0F90"/>
    <w:rsid w:val="3E3C527C"/>
    <w:rsid w:val="3EA47F98"/>
    <w:rsid w:val="41132B06"/>
    <w:rsid w:val="48A52894"/>
    <w:rsid w:val="52BA55BB"/>
    <w:rsid w:val="54244390"/>
    <w:rsid w:val="54662A63"/>
    <w:rsid w:val="58064E12"/>
    <w:rsid w:val="59496977"/>
    <w:rsid w:val="5A9B0BAE"/>
    <w:rsid w:val="5BFEE015"/>
    <w:rsid w:val="608B4D1C"/>
    <w:rsid w:val="637F7835"/>
    <w:rsid w:val="63EDCF55"/>
    <w:rsid w:val="63FBFBCF"/>
    <w:rsid w:val="65D45294"/>
    <w:rsid w:val="669360FD"/>
    <w:rsid w:val="68FF6A83"/>
    <w:rsid w:val="69CE5898"/>
    <w:rsid w:val="6FBBC9CF"/>
    <w:rsid w:val="72BDE561"/>
    <w:rsid w:val="73820ED5"/>
    <w:rsid w:val="75933945"/>
    <w:rsid w:val="78462278"/>
    <w:rsid w:val="7997EA6C"/>
    <w:rsid w:val="7AEAE675"/>
    <w:rsid w:val="7BAFCE5D"/>
    <w:rsid w:val="7D46598C"/>
    <w:rsid w:val="7DFB240B"/>
    <w:rsid w:val="7E0935ED"/>
    <w:rsid w:val="7E6C042C"/>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1"/>
    <w:basedOn w:val="1"/>
    <w:next w:val="1"/>
    <w:qFormat/>
    <w:uiPriority w:val="0"/>
    <w:pPr>
      <w:keepNext w:val="0"/>
      <w:keepLines w:val="0"/>
      <w:spacing w:line="560" w:lineRule="exact"/>
      <w:ind w:firstLine="880" w:firstLineChars="200"/>
      <w:outlineLvl w:val="0"/>
    </w:pPr>
    <w:rPr>
      <w:rFonts w:ascii="Times New Roman" w:hAnsi="Times New Roman" w:eastAsia="黑体" w:cs="Times New Roman"/>
      <w:kern w:val="44"/>
      <w:sz w:val="32"/>
      <w:szCs w:val="22"/>
    </w:rPr>
  </w:style>
  <w:style w:type="paragraph" w:styleId="3">
    <w:name w:val="heading 2"/>
    <w:basedOn w:val="1"/>
    <w:next w:val="1"/>
    <w:unhideWhenUsed/>
    <w:qFormat/>
    <w:uiPriority w:val="0"/>
    <w:pPr>
      <w:keepNext w:val="0"/>
      <w:keepLines w:val="0"/>
      <w:spacing w:line="560" w:lineRule="exact"/>
      <w:ind w:firstLine="880" w:firstLineChars="200"/>
      <w:jc w:val="both"/>
      <w:outlineLvl w:val="1"/>
    </w:pPr>
    <w:rPr>
      <w:rFonts w:ascii="Arial" w:hAnsi="Arial" w:eastAsia="楷体" w:cs="Times New Roman"/>
      <w:bCs/>
      <w:sz w:val="32"/>
      <w:szCs w:val="32"/>
    </w:rPr>
  </w:style>
  <w:style w:type="character" w:default="1" w:styleId="12">
    <w:name w:val="Default Paragraph Font"/>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caption"/>
    <w:basedOn w:val="1"/>
    <w:next w:val="1"/>
    <w:qFormat/>
    <w:uiPriority w:val="0"/>
    <w:pPr>
      <w:widowControl w:val="0"/>
      <w:suppressLineNumbers/>
      <w:suppressAutoHyphens/>
      <w:spacing w:before="120" w:after="120"/>
    </w:pPr>
    <w:rPr>
      <w:i/>
      <w:iCs/>
      <w:sz w:val="24"/>
      <w:szCs w:val="24"/>
    </w:rPr>
  </w:style>
  <w:style w:type="paragraph" w:styleId="5">
    <w:name w:val="Body Text"/>
    <w:basedOn w:val="1"/>
    <w:qFormat/>
    <w:uiPriority w:val="0"/>
    <w:pPr>
      <w:spacing w:before="0" w:after="140" w:line="276" w:lineRule="auto"/>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List"/>
    <w:basedOn w:val="5"/>
    <w:qFormat/>
    <w:uiPriority w:val="0"/>
  </w:style>
  <w:style w:type="paragraph" w:styleId="10">
    <w:name w:val="Normal (Web)"/>
    <w:basedOn w:val="1"/>
    <w:qFormat/>
    <w:uiPriority w:val="0"/>
    <w:rPr>
      <w:sz w:val="24"/>
    </w:rPr>
  </w:style>
  <w:style w:type="character" w:customStyle="1" w:styleId="13">
    <w:name w:val="默认段落字体1"/>
    <w:qFormat/>
    <w:uiPriority w:val="0"/>
  </w:style>
  <w:style w:type="paragraph" w:customStyle="1" w:styleId="14">
    <w:name w:val="Heading"/>
    <w:basedOn w:val="1"/>
    <w:next w:val="5"/>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5">
    <w:name w:val="Index"/>
    <w:basedOn w:val="1"/>
    <w:qFormat/>
    <w:uiPriority w:val="0"/>
    <w:pPr>
      <w:widowControl w:val="0"/>
      <w:suppressLineNumbers/>
      <w:suppressAutoHyphens/>
    </w:pPr>
  </w:style>
  <w:style w:type="paragraph" w:customStyle="1" w:styleId="16">
    <w:name w:val="WPSOffice手动目录 1"/>
    <w:qFormat/>
    <w:uiPriority w:val="0"/>
    <w:pPr>
      <w:ind w:leftChars="0"/>
    </w:pPr>
    <w:rPr>
      <w:rFonts w:ascii="Times New Roman" w:hAnsi="Times New Roman" w:eastAsia="宋体" w:cs="Times New Roman"/>
      <w:sz w:val="20"/>
      <w:szCs w:val="20"/>
    </w:rPr>
  </w:style>
  <w:style w:type="paragraph" w:customStyle="1" w:styleId="17">
    <w:name w:val="WPSOffice手动目录 2"/>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11</Pages>
  <Words>3959</Words>
  <Characters>4309</Characters>
  <TotalTime>1</TotalTime>
  <ScaleCrop>false</ScaleCrop>
  <LinksUpToDate>false</LinksUpToDate>
  <CharactersWithSpaces>4437</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dell</cp:lastModifiedBy>
  <dcterms:modified xsi:type="dcterms:W3CDTF">2024-03-04T15:12:48Z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96081F72B7444D3C8C1C7DDAED24732C_13</vt:lpwstr>
  </property>
</Properties>
</file>